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BE12F8">
        <w:rPr>
          <w:rFonts w:ascii="Times New Roman" w:hAnsi="Times New Roman" w:cs="Times New Roman"/>
          <w:sz w:val="28"/>
          <w:szCs w:val="28"/>
        </w:rPr>
        <w:t>Принятие решения о предварительном согласовании предоставления земельного участка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BE12F8">
        <w:rPr>
          <w:rFonts w:ascii="Times New Roman" w:hAnsi="Times New Roman" w:cs="Times New Roman"/>
          <w:sz w:val="28"/>
          <w:szCs w:val="28"/>
        </w:rPr>
        <w:t>Принятие решения о предварительном согласовании предоставления земельного участка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6780D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56780D">
        <w:rPr>
          <w:rFonts w:ascii="Times New Roman" w:hAnsi="Times New Roman" w:cs="Times New Roman"/>
          <w:sz w:val="28"/>
          <w:szCs w:val="28"/>
        </w:rPr>
        <w:t>Принятие решения о предварительном согласовании предоставления земельного участка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2023-04-03T13:59:00Z</cp:lastPrinted>
  <dcterms:created xsi:type="dcterms:W3CDTF">2023-04-25T10:09:00Z</dcterms:created>
  <dcterms:modified xsi:type="dcterms:W3CDTF">2023-04-25T10:09:00Z</dcterms:modified>
</cp:coreProperties>
</file>